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247C" w14:textId="718FCD2D" w:rsidR="00D04AE6" w:rsidRDefault="000B26D1" w:rsidP="0011285D">
      <w:r>
        <w:tab/>
      </w:r>
      <w:r w:rsidR="0011285D" w:rsidRPr="000B26D1">
        <w:rPr>
          <w:noProof/>
        </w:rPr>
        <w:drawing>
          <wp:inline distT="0" distB="0" distL="0" distR="0" wp14:anchorId="454CA875" wp14:editId="0ADB4C8B">
            <wp:extent cx="750013" cy="716924"/>
            <wp:effectExtent l="0" t="0" r="12065" b="0"/>
            <wp:docPr id="2334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7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3" cy="71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1285D">
        <w:t xml:space="preserve">    </w:t>
      </w:r>
      <w:r w:rsidR="00B325DF">
        <w:tab/>
      </w:r>
      <w:r w:rsidR="00B325DF">
        <w:tab/>
      </w:r>
      <w:r w:rsidR="00B325DF">
        <w:tab/>
      </w:r>
      <w:r w:rsidR="0011285D">
        <w:t xml:space="preserve">         </w:t>
      </w:r>
      <w:r>
        <w:tab/>
      </w:r>
      <w:r w:rsidR="0011285D">
        <w:rPr>
          <w:noProof/>
        </w:rPr>
        <w:drawing>
          <wp:inline distT="0" distB="0" distL="0" distR="0" wp14:anchorId="4A717DF5" wp14:editId="70058B77">
            <wp:extent cx="790812" cy="6769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49" cy="6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7288A3B" w14:textId="77777777" w:rsidR="000B26D1" w:rsidRDefault="000B26D1" w:rsidP="000B26D1"/>
    <w:p w14:paraId="5A967163" w14:textId="647A92BE" w:rsidR="000B26D1" w:rsidRDefault="000B26D1" w:rsidP="000B26D1">
      <w:r>
        <w:t>Università degli Studi di Padova</w:t>
      </w:r>
      <w:r>
        <w:tab/>
      </w:r>
      <w:r>
        <w:tab/>
      </w:r>
      <w:r>
        <w:tab/>
      </w:r>
      <w:r w:rsidR="0011285D">
        <w:t xml:space="preserve">                </w:t>
      </w:r>
      <w:r>
        <w:t>Università degli Studi di Verona</w:t>
      </w:r>
    </w:p>
    <w:p w14:paraId="5888D5E7" w14:textId="59B8A532" w:rsidR="000B26D1" w:rsidRDefault="0011285D" w:rsidP="000B26D1">
      <w:r>
        <w:t xml:space="preserve"> </w:t>
      </w:r>
    </w:p>
    <w:p w14:paraId="76AA72D1" w14:textId="2EEAC46A" w:rsidR="00B325DF" w:rsidRPr="00B325DF" w:rsidRDefault="00B325DF" w:rsidP="00B325DF">
      <w:pPr>
        <w:ind w:firstLine="708"/>
        <w:rPr>
          <w:i/>
          <w:sz w:val="22"/>
          <w:szCs w:val="22"/>
        </w:rPr>
      </w:pPr>
      <w:r w:rsidRPr="00B325DF">
        <w:rPr>
          <w:i/>
          <w:sz w:val="22"/>
          <w:szCs w:val="22"/>
        </w:rPr>
        <w:t xml:space="preserve">Prof. </w:t>
      </w:r>
      <w:proofErr w:type="spellStart"/>
      <w:r w:rsidRPr="00B325DF">
        <w:rPr>
          <w:i/>
          <w:sz w:val="22"/>
          <w:szCs w:val="22"/>
        </w:rPr>
        <w:t>Pierfranco</w:t>
      </w:r>
      <w:proofErr w:type="spellEnd"/>
      <w:r w:rsidRPr="00B325DF">
        <w:rPr>
          <w:i/>
          <w:sz w:val="22"/>
          <w:szCs w:val="22"/>
        </w:rPr>
        <w:t xml:space="preserve"> Conte</w:t>
      </w:r>
      <w:r w:rsidRPr="00B325DF">
        <w:rPr>
          <w:i/>
          <w:sz w:val="22"/>
          <w:szCs w:val="22"/>
        </w:rPr>
        <w:tab/>
      </w:r>
      <w:r w:rsidRPr="00B325DF">
        <w:rPr>
          <w:i/>
          <w:sz w:val="22"/>
          <w:szCs w:val="22"/>
        </w:rPr>
        <w:tab/>
      </w:r>
      <w:r w:rsidRPr="00B325DF">
        <w:rPr>
          <w:i/>
          <w:sz w:val="22"/>
          <w:szCs w:val="22"/>
        </w:rPr>
        <w:tab/>
      </w:r>
      <w:r w:rsidRPr="00B325DF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325DF">
        <w:rPr>
          <w:i/>
          <w:sz w:val="22"/>
          <w:szCs w:val="22"/>
        </w:rPr>
        <w:t>Prof. Michele Milella</w:t>
      </w:r>
    </w:p>
    <w:p w14:paraId="1764A57E" w14:textId="7F7DE853" w:rsidR="00B325DF" w:rsidRDefault="00B325DF" w:rsidP="00B325DF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Prof.ssa Valentina </w:t>
      </w:r>
      <w:proofErr w:type="spellStart"/>
      <w:r>
        <w:rPr>
          <w:i/>
          <w:sz w:val="22"/>
          <w:szCs w:val="22"/>
        </w:rPr>
        <w:t>Guarneri</w:t>
      </w:r>
      <w:proofErr w:type="spellEnd"/>
      <w:r w:rsidRPr="00B325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B325DF">
        <w:rPr>
          <w:i/>
          <w:sz w:val="22"/>
          <w:szCs w:val="22"/>
        </w:rPr>
        <w:t>Dott.ssa</w:t>
      </w:r>
      <w:proofErr w:type="gramEnd"/>
      <w:r w:rsidRPr="00B325DF">
        <w:rPr>
          <w:i/>
          <w:sz w:val="22"/>
          <w:szCs w:val="22"/>
        </w:rPr>
        <w:t xml:space="preserve"> Sara Pilotto</w:t>
      </w:r>
    </w:p>
    <w:p w14:paraId="0403C054" w14:textId="51416A87" w:rsidR="00B325DF" w:rsidRPr="00B325DF" w:rsidRDefault="00B325DF" w:rsidP="00B325DF">
      <w:pPr>
        <w:ind w:firstLine="708"/>
        <w:rPr>
          <w:i/>
          <w:sz w:val="22"/>
          <w:szCs w:val="22"/>
        </w:rPr>
      </w:pPr>
      <w:proofErr w:type="gramStart"/>
      <w:r w:rsidRPr="00B325DF">
        <w:rPr>
          <w:i/>
          <w:sz w:val="22"/>
          <w:szCs w:val="22"/>
        </w:rPr>
        <w:t>Dott.ssa</w:t>
      </w:r>
      <w:proofErr w:type="gramEnd"/>
      <w:r w:rsidRPr="00B325DF">
        <w:rPr>
          <w:i/>
          <w:sz w:val="22"/>
          <w:szCs w:val="22"/>
        </w:rPr>
        <w:t xml:space="preserve"> Jessica </w:t>
      </w:r>
      <w:proofErr w:type="spellStart"/>
      <w:r w:rsidRPr="00B325DF">
        <w:rPr>
          <w:i/>
          <w:sz w:val="22"/>
          <w:szCs w:val="22"/>
        </w:rPr>
        <w:t>Menis</w:t>
      </w:r>
      <w:proofErr w:type="spellEnd"/>
      <w:r w:rsidRPr="00B325DF">
        <w:rPr>
          <w:i/>
          <w:sz w:val="22"/>
          <w:szCs w:val="22"/>
        </w:rPr>
        <w:tab/>
      </w:r>
      <w:r w:rsidRPr="00B325DF">
        <w:rPr>
          <w:i/>
          <w:sz w:val="22"/>
          <w:szCs w:val="22"/>
        </w:rPr>
        <w:tab/>
      </w:r>
      <w:r w:rsidRPr="00B325DF">
        <w:rPr>
          <w:i/>
          <w:sz w:val="22"/>
          <w:szCs w:val="22"/>
        </w:rPr>
        <w:tab/>
      </w:r>
      <w:r w:rsidRPr="00B325DF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1482F130" w14:textId="77777777" w:rsidR="000B26D1" w:rsidRDefault="000B26D1" w:rsidP="000B26D1"/>
    <w:p w14:paraId="7E6B71FC" w14:textId="77777777" w:rsidR="000B26D1" w:rsidRDefault="000B26D1" w:rsidP="000B26D1"/>
    <w:p w14:paraId="1C46C5D8" w14:textId="77777777" w:rsidR="00B325DF" w:rsidRDefault="00B325DF" w:rsidP="000B26D1"/>
    <w:p w14:paraId="7C732FD2" w14:textId="3BC7A0EE" w:rsidR="000B26D1" w:rsidRPr="00B325DF" w:rsidRDefault="00B325DF" w:rsidP="00B325DF">
      <w:pPr>
        <w:jc w:val="center"/>
        <w:rPr>
          <w:sz w:val="48"/>
          <w:szCs w:val="48"/>
        </w:rPr>
      </w:pPr>
      <w:r w:rsidRPr="00B325DF">
        <w:rPr>
          <w:sz w:val="48"/>
          <w:szCs w:val="48"/>
        </w:rPr>
        <w:t xml:space="preserve">Seminari di Oncologia </w:t>
      </w:r>
      <w:r w:rsidRPr="00B325DF">
        <w:rPr>
          <w:sz w:val="40"/>
          <w:szCs w:val="40"/>
        </w:rPr>
        <w:t>2019-2020</w:t>
      </w:r>
    </w:p>
    <w:p w14:paraId="146E9BF8" w14:textId="6347279D" w:rsidR="00360B29" w:rsidRPr="00B325DF" w:rsidRDefault="000B26D1" w:rsidP="00B325DF">
      <w:pPr>
        <w:spacing w:line="360" w:lineRule="auto"/>
        <w:jc w:val="center"/>
        <w:rPr>
          <w:i/>
          <w:sz w:val="32"/>
          <w:szCs w:val="32"/>
          <w:lang w:val="en-US"/>
        </w:rPr>
      </w:pPr>
      <w:proofErr w:type="spellStart"/>
      <w:r w:rsidRPr="00B325DF">
        <w:rPr>
          <w:b/>
          <w:i/>
          <w:sz w:val="32"/>
          <w:szCs w:val="32"/>
          <w:lang w:val="en-US"/>
        </w:rPr>
        <w:t>Immuno</w:t>
      </w:r>
      <w:proofErr w:type="spellEnd"/>
      <w:r w:rsidRPr="00B325DF">
        <w:rPr>
          <w:b/>
          <w:i/>
          <w:sz w:val="32"/>
          <w:szCs w:val="32"/>
          <w:lang w:val="en-US"/>
        </w:rPr>
        <w:t xml:space="preserve"> meets </w:t>
      </w:r>
      <w:proofErr w:type="spellStart"/>
      <w:r w:rsidR="00360B29" w:rsidRPr="00B325DF">
        <w:rPr>
          <w:b/>
          <w:i/>
          <w:sz w:val="32"/>
          <w:szCs w:val="32"/>
          <w:lang w:val="en-US"/>
        </w:rPr>
        <w:t>A</w:t>
      </w:r>
      <w:r w:rsidRPr="00B325DF">
        <w:rPr>
          <w:b/>
          <w:i/>
          <w:sz w:val="32"/>
          <w:szCs w:val="32"/>
          <w:lang w:val="en-US"/>
        </w:rPr>
        <w:t>ngio</w:t>
      </w:r>
      <w:proofErr w:type="spellEnd"/>
      <w:r w:rsidRPr="00B325DF">
        <w:rPr>
          <w:i/>
          <w:sz w:val="32"/>
          <w:szCs w:val="32"/>
          <w:lang w:val="en-US"/>
        </w:rPr>
        <w:t xml:space="preserve">: </w:t>
      </w:r>
      <w:r w:rsidR="0011285D" w:rsidRPr="00B325DF">
        <w:rPr>
          <w:i/>
          <w:sz w:val="32"/>
          <w:szCs w:val="32"/>
          <w:lang w:val="en-GB"/>
        </w:rPr>
        <w:t>from pre</w:t>
      </w:r>
      <w:r w:rsidRPr="00B325DF">
        <w:rPr>
          <w:i/>
          <w:sz w:val="32"/>
          <w:szCs w:val="32"/>
          <w:lang w:val="en-GB"/>
        </w:rPr>
        <w:t>clinical data to clinical applicability</w:t>
      </w:r>
    </w:p>
    <w:p w14:paraId="726226DF" w14:textId="77777777" w:rsidR="00360B29" w:rsidRPr="0011285D" w:rsidRDefault="00360B29" w:rsidP="00360B29">
      <w:pPr>
        <w:rPr>
          <w:i/>
          <w:sz w:val="48"/>
          <w:szCs w:val="48"/>
          <w:lang w:val="en-US"/>
        </w:rPr>
      </w:pPr>
    </w:p>
    <w:p w14:paraId="5E9E1AC8" w14:textId="6220B586" w:rsidR="00360B29" w:rsidRDefault="00B325DF" w:rsidP="008B6A4C">
      <w:pPr>
        <w:spacing w:line="276" w:lineRule="auto"/>
        <w:jc w:val="center"/>
        <w:rPr>
          <w:b/>
          <w:i/>
          <w:sz w:val="44"/>
          <w:szCs w:val="44"/>
          <w:lang w:val="en-US"/>
        </w:rPr>
      </w:pPr>
      <w:r w:rsidRPr="00B325DF">
        <w:rPr>
          <w:b/>
          <w:i/>
          <w:sz w:val="44"/>
          <w:szCs w:val="44"/>
          <w:lang w:val="en-US"/>
        </w:rPr>
        <w:t>The immune microenvironment in cancer</w:t>
      </w:r>
    </w:p>
    <w:p w14:paraId="50C7F45C" w14:textId="21F6476A" w:rsidR="008B6A4C" w:rsidRDefault="008B6A4C" w:rsidP="008B6A4C">
      <w:pPr>
        <w:spacing w:line="276" w:lineRule="auto"/>
        <w:jc w:val="center"/>
        <w:rPr>
          <w:b/>
          <w:sz w:val="40"/>
          <w:szCs w:val="40"/>
          <w:lang w:val="en-US"/>
        </w:rPr>
      </w:pPr>
      <w:bookmarkStart w:id="0" w:name="_GoBack"/>
      <w:proofErr w:type="spellStart"/>
      <w:r w:rsidRPr="008B6A4C">
        <w:rPr>
          <w:b/>
          <w:sz w:val="40"/>
          <w:szCs w:val="40"/>
          <w:lang w:val="en-US"/>
        </w:rPr>
        <w:t>Dr</w:t>
      </w:r>
      <w:proofErr w:type="spellEnd"/>
      <w:r w:rsidRPr="008B6A4C">
        <w:rPr>
          <w:b/>
          <w:sz w:val="40"/>
          <w:szCs w:val="40"/>
          <w:lang w:val="en-US"/>
        </w:rPr>
        <w:t xml:space="preserve"> Sandrine ASPESLAGH, MD, PhD</w:t>
      </w:r>
    </w:p>
    <w:bookmarkEnd w:id="0"/>
    <w:p w14:paraId="727653C7" w14:textId="04EAEAA9" w:rsidR="00360B29" w:rsidRDefault="00360B29" w:rsidP="000D4242">
      <w:pPr>
        <w:rPr>
          <w:i/>
          <w:sz w:val="48"/>
          <w:szCs w:val="48"/>
        </w:rPr>
      </w:pPr>
    </w:p>
    <w:p w14:paraId="6617D05A" w14:textId="3E6277F5" w:rsidR="008B6A4C" w:rsidRPr="002A4ADA" w:rsidRDefault="008B6A4C" w:rsidP="002A4ADA">
      <w:pPr>
        <w:spacing w:line="276" w:lineRule="auto"/>
        <w:jc w:val="both"/>
      </w:pPr>
      <w:r w:rsidRPr="002A4AD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5593CB" wp14:editId="53FA6326">
            <wp:simplePos x="0" y="0"/>
            <wp:positionH relativeFrom="margin">
              <wp:posOffset>10160</wp:posOffset>
            </wp:positionH>
            <wp:positionV relativeFrom="margin">
              <wp:posOffset>5461000</wp:posOffset>
            </wp:positionV>
            <wp:extent cx="1070610" cy="13766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f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A4ADA">
        <w:t>Sandrine</w:t>
      </w:r>
      <w:proofErr w:type="spellEnd"/>
      <w:r w:rsidRPr="002A4ADA">
        <w:t xml:space="preserve"> </w:t>
      </w:r>
      <w:proofErr w:type="spellStart"/>
      <w:r w:rsidRPr="002A4ADA">
        <w:t>Aspeslagh</w:t>
      </w:r>
      <w:proofErr w:type="spellEnd"/>
      <w:r w:rsidRPr="002A4ADA">
        <w:t xml:space="preserve"> si è laureata con menzione nel 2006 presso l’università di </w:t>
      </w:r>
      <w:proofErr w:type="spellStart"/>
      <w:r w:rsidRPr="002A4ADA">
        <w:t>Ghent</w:t>
      </w:r>
      <w:proofErr w:type="spellEnd"/>
      <w:r w:rsidRPr="002A4ADA">
        <w:t xml:space="preserve"> (Belgio) dove nel 2012 ha conseguito il dottorato in Immunologia grazie al suo lavoro sulle cellule </w:t>
      </w:r>
      <w:proofErr w:type="spellStart"/>
      <w:proofErr w:type="gramStart"/>
      <w:r w:rsidRPr="002A4ADA">
        <w:t>iNKT</w:t>
      </w:r>
      <w:proofErr w:type="spellEnd"/>
      <w:proofErr w:type="gramEnd"/>
      <w:r w:rsidRPr="002A4ADA">
        <w:t xml:space="preserve"> nel laboratorio del Prof </w:t>
      </w:r>
      <w:proofErr w:type="spellStart"/>
      <w:r w:rsidRPr="002A4ADA">
        <w:t>Dirk</w:t>
      </w:r>
      <w:proofErr w:type="spellEnd"/>
      <w:r w:rsidRPr="002A4ADA">
        <w:t xml:space="preserve"> </w:t>
      </w:r>
      <w:proofErr w:type="spellStart"/>
      <w:r w:rsidRPr="002A4ADA">
        <w:t>Elewaut</w:t>
      </w:r>
      <w:proofErr w:type="spellEnd"/>
      <w:r w:rsidRPr="002A4ADA">
        <w:t xml:space="preserve"> (Dipartimento di reumatologia)</w:t>
      </w:r>
      <w:r w:rsidR="002A4ADA" w:rsidRPr="002A4ADA">
        <w:t xml:space="preserve"> e nel 2015 si è specializzata in oncologia medica</w:t>
      </w:r>
      <w:r w:rsidRPr="002A4ADA">
        <w:t>.</w:t>
      </w:r>
    </w:p>
    <w:p w14:paraId="1B7F6C7D" w14:textId="4C42EBF2" w:rsidR="002A4ADA" w:rsidRPr="002A4ADA" w:rsidRDefault="008B6A4C" w:rsidP="002A4ADA">
      <w:pPr>
        <w:spacing w:line="276" w:lineRule="auto"/>
        <w:jc w:val="both"/>
      </w:pPr>
      <w:r w:rsidRPr="002A4ADA">
        <w:t xml:space="preserve">In 2014, ha ottenuto il premio Georges </w:t>
      </w:r>
      <w:proofErr w:type="spellStart"/>
      <w:r w:rsidRPr="002A4ADA">
        <w:t>Mathé</w:t>
      </w:r>
      <w:proofErr w:type="spellEnd"/>
      <w:r w:rsidRPr="002A4ADA">
        <w:t xml:space="preserve"> per le sue ricerche sull’immunoterapia che le ha dato l’opportunità di unirsi al </w:t>
      </w:r>
      <w:proofErr w:type="spellStart"/>
      <w:r w:rsidRPr="002A4ADA">
        <w:t>Drug</w:t>
      </w:r>
      <w:proofErr w:type="spellEnd"/>
      <w:r w:rsidRPr="002A4ADA">
        <w:t xml:space="preserve"> Development </w:t>
      </w:r>
      <w:proofErr w:type="spellStart"/>
      <w:r w:rsidRPr="002A4ADA">
        <w:t>Department</w:t>
      </w:r>
      <w:proofErr w:type="spellEnd"/>
      <w:r w:rsidRPr="002A4ADA">
        <w:t xml:space="preserve"> (DITEP)</w:t>
      </w:r>
      <w:r w:rsidR="002A4ADA" w:rsidRPr="002A4ADA">
        <w:t xml:space="preserve"> press </w:t>
      </w:r>
      <w:proofErr w:type="gramStart"/>
      <w:r w:rsidRPr="002A4ADA">
        <w:t>il Gustave</w:t>
      </w:r>
      <w:proofErr w:type="gramEnd"/>
      <w:r w:rsidRPr="002A4ADA">
        <w:t xml:space="preserve"> </w:t>
      </w:r>
      <w:proofErr w:type="spellStart"/>
      <w:r w:rsidRPr="002A4ADA">
        <w:t>Roussy</w:t>
      </w:r>
      <w:proofErr w:type="spellEnd"/>
      <w:r w:rsidRPr="002A4ADA">
        <w:t xml:space="preserve"> </w:t>
      </w:r>
      <w:proofErr w:type="spellStart"/>
      <w:r w:rsidRPr="002A4ADA">
        <w:t>Cancer</w:t>
      </w:r>
      <w:proofErr w:type="spellEnd"/>
      <w:r w:rsidRPr="002A4ADA">
        <w:t xml:space="preserve"> Campus </w:t>
      </w:r>
      <w:proofErr w:type="spellStart"/>
      <w:r w:rsidRPr="002A4ADA">
        <w:t>Grand</w:t>
      </w:r>
      <w:proofErr w:type="spellEnd"/>
      <w:r w:rsidRPr="002A4ADA">
        <w:t xml:space="preserve"> Paris (Francia)</w:t>
      </w:r>
      <w:r w:rsidR="002A4ADA" w:rsidRPr="002A4ADA">
        <w:t xml:space="preserve"> sotto la </w:t>
      </w:r>
      <w:proofErr w:type="spellStart"/>
      <w:r w:rsidR="002A4ADA" w:rsidRPr="002A4ADA">
        <w:t>supervision</w:t>
      </w:r>
      <w:proofErr w:type="spellEnd"/>
      <w:r w:rsidR="002A4ADA" w:rsidRPr="002A4ADA">
        <w:t xml:space="preserve"> dei Prof. Jean Charles </w:t>
      </w:r>
      <w:proofErr w:type="spellStart"/>
      <w:r w:rsidR="002A4ADA" w:rsidRPr="002A4ADA">
        <w:t>Soria</w:t>
      </w:r>
      <w:proofErr w:type="spellEnd"/>
      <w:r w:rsidR="002A4ADA" w:rsidRPr="002A4ADA">
        <w:t xml:space="preserve"> e Aurelien </w:t>
      </w:r>
      <w:proofErr w:type="spellStart"/>
      <w:r w:rsidR="002A4ADA" w:rsidRPr="002A4ADA">
        <w:t>Marabelle</w:t>
      </w:r>
      <w:proofErr w:type="spellEnd"/>
      <w:r w:rsidRPr="002A4ADA">
        <w:t xml:space="preserve">.  </w:t>
      </w:r>
    </w:p>
    <w:p w14:paraId="47E750BF" w14:textId="68AA74C0" w:rsidR="002A4ADA" w:rsidRPr="002A4ADA" w:rsidRDefault="002A4ADA" w:rsidP="002A4ADA">
      <w:pPr>
        <w:spacing w:line="276" w:lineRule="auto"/>
        <w:jc w:val="both"/>
      </w:pPr>
      <w:r w:rsidRPr="002A4ADA">
        <w:t xml:space="preserve">Negli ultimi </w:t>
      </w:r>
      <w:proofErr w:type="gramStart"/>
      <w:r w:rsidRPr="002A4ADA">
        <w:t>4</w:t>
      </w:r>
      <w:proofErr w:type="gramEnd"/>
      <w:r w:rsidRPr="002A4ADA">
        <w:t xml:space="preserve"> anni è stata </w:t>
      </w:r>
      <w:proofErr w:type="spellStart"/>
      <w:r w:rsidRPr="002A4ADA">
        <w:t>principal</w:t>
      </w:r>
      <w:proofErr w:type="spellEnd"/>
      <w:r w:rsidRPr="002A4ADA">
        <w:t xml:space="preserve"> investigator di numerosi studi clinici di fase precoce e fase II-III e co-investigator di oltre 60 studi clinici di fase I (di cui almeno 20 con </w:t>
      </w:r>
      <w:proofErr w:type="spellStart"/>
      <w:r w:rsidRPr="002A4ADA">
        <w:t>immunoterapici</w:t>
      </w:r>
      <w:proofErr w:type="spellEnd"/>
      <w:r w:rsidRPr="002A4ADA">
        <w:t>)</w:t>
      </w:r>
      <w:r w:rsidR="000D4242">
        <w:t>, co-autore di numerose pubblicazioni di immunoterapia e terapie target,</w:t>
      </w:r>
      <w:r w:rsidRPr="002A4ADA">
        <w:t xml:space="preserve"> ed ha organizzato corsi educazionali di </w:t>
      </w:r>
      <w:proofErr w:type="spellStart"/>
      <w:r w:rsidRPr="002A4ADA">
        <w:t>immuno</w:t>
      </w:r>
      <w:proofErr w:type="spellEnd"/>
      <w:r w:rsidRPr="002A4ADA">
        <w:t>-oncologia per oncologi, medici di base, ricercatori e paramedici.</w:t>
      </w:r>
    </w:p>
    <w:p w14:paraId="643C0D6A" w14:textId="464BE290" w:rsidR="000D4242" w:rsidRPr="000D4242" w:rsidRDefault="002A4ADA" w:rsidP="000D4242">
      <w:pPr>
        <w:spacing w:after="280" w:line="276" w:lineRule="auto"/>
        <w:jc w:val="both"/>
        <w:rPr>
          <w:lang w:val="en-US"/>
        </w:rPr>
      </w:pPr>
      <w:proofErr w:type="gramStart"/>
      <w:r w:rsidRPr="002A4ADA">
        <w:t>Attualme</w:t>
      </w:r>
      <w:r w:rsidR="000D4242">
        <w:t>nte</w:t>
      </w:r>
      <w:proofErr w:type="gramEnd"/>
      <w:r w:rsidR="000D4242">
        <w:t xml:space="preserve"> lavora presso i dipartimenti</w:t>
      </w:r>
      <w:r w:rsidRPr="002A4ADA">
        <w:t xml:space="preserve"> di oncologia medica dell’ UZ </w:t>
      </w:r>
      <w:proofErr w:type="spellStart"/>
      <w:r w:rsidRPr="002A4ADA">
        <w:t>Brussel</w:t>
      </w:r>
      <w:proofErr w:type="spellEnd"/>
      <w:r w:rsidRPr="002A4ADA">
        <w:t xml:space="preserve"> e dell’ospedale </w:t>
      </w:r>
      <w:proofErr w:type="spellStart"/>
      <w:r w:rsidRPr="002A4ADA">
        <w:t>Erasme</w:t>
      </w:r>
      <w:proofErr w:type="spellEnd"/>
      <w:r w:rsidRPr="002A4ADA">
        <w:t xml:space="preserve"> (Bruxelles, Belgio). I suoi interessi principali sono l’immunoterapia e i suoi eventi avversi, il melanoma, i tumori cutanei e genito-urinari.</w:t>
      </w:r>
      <w:r w:rsidR="000D4242">
        <w:t xml:space="preserve"> E’ infine attivamente coinvolta nello sviluppo di </w:t>
      </w:r>
      <w:proofErr w:type="spellStart"/>
      <w:r w:rsidR="000D4242">
        <w:rPr>
          <w:lang w:val="en-US"/>
        </w:rPr>
        <w:t>Immunomanager</w:t>
      </w:r>
      <w:proofErr w:type="spellEnd"/>
      <w:r w:rsidR="000D4242">
        <w:rPr>
          <w:lang w:val="en-US"/>
        </w:rPr>
        <w:t>, u</w:t>
      </w:r>
      <w:r w:rsidR="000D4242">
        <w:rPr>
          <w:lang w:val="en-US"/>
        </w:rPr>
        <w:t xml:space="preserve">n online </w:t>
      </w:r>
      <w:proofErr w:type="spellStart"/>
      <w:r w:rsidR="000D4242">
        <w:rPr>
          <w:lang w:val="en-US"/>
        </w:rPr>
        <w:t>webtool</w:t>
      </w:r>
      <w:proofErr w:type="spellEnd"/>
      <w:r w:rsidR="000D4242">
        <w:rPr>
          <w:lang w:val="en-US"/>
        </w:rPr>
        <w:t xml:space="preserve"> (</w:t>
      </w:r>
      <w:proofErr w:type="spellStart"/>
      <w:r w:rsidR="000D4242">
        <w:rPr>
          <w:lang w:val="en-US"/>
        </w:rPr>
        <w:t>liberamente</w:t>
      </w:r>
      <w:proofErr w:type="spellEnd"/>
      <w:r w:rsidR="000D4242">
        <w:rPr>
          <w:lang w:val="en-US"/>
        </w:rPr>
        <w:t xml:space="preserve"> </w:t>
      </w:r>
      <w:proofErr w:type="spellStart"/>
      <w:r w:rsidR="000D4242">
        <w:rPr>
          <w:lang w:val="en-US"/>
        </w:rPr>
        <w:t>disponibile</w:t>
      </w:r>
      <w:proofErr w:type="spellEnd"/>
      <w:r w:rsidR="000D4242">
        <w:rPr>
          <w:lang w:val="en-US"/>
        </w:rPr>
        <w:t>)</w:t>
      </w:r>
      <w:r w:rsidR="000D4242">
        <w:rPr>
          <w:lang w:val="en-US"/>
        </w:rPr>
        <w:t xml:space="preserve"> </w:t>
      </w:r>
      <w:proofErr w:type="spellStart"/>
      <w:r w:rsidR="000D4242">
        <w:rPr>
          <w:lang w:val="en-US"/>
        </w:rPr>
        <w:t>della</w:t>
      </w:r>
      <w:proofErr w:type="spellEnd"/>
      <w:r w:rsidR="000D4242">
        <w:rPr>
          <w:lang w:val="en-US"/>
        </w:rPr>
        <w:t xml:space="preserve"> BSMO (Belgian </w:t>
      </w:r>
      <w:proofErr w:type="gramStart"/>
      <w:r w:rsidR="000D4242">
        <w:rPr>
          <w:lang w:val="en-US"/>
        </w:rPr>
        <w:t>Society</w:t>
      </w:r>
      <w:proofErr w:type="gramEnd"/>
      <w:r w:rsidR="000D4242">
        <w:rPr>
          <w:lang w:val="en-US"/>
        </w:rPr>
        <w:t xml:space="preserve"> of Medical Oncology) </w:t>
      </w:r>
      <w:proofErr w:type="spellStart"/>
      <w:r w:rsidR="000D4242">
        <w:rPr>
          <w:lang w:val="en-US"/>
        </w:rPr>
        <w:t>sulla</w:t>
      </w:r>
      <w:proofErr w:type="spellEnd"/>
      <w:r w:rsidR="000D4242">
        <w:rPr>
          <w:lang w:val="en-US"/>
        </w:rPr>
        <w:t xml:space="preserve"> </w:t>
      </w:r>
      <w:proofErr w:type="spellStart"/>
      <w:r w:rsidR="000D4242">
        <w:rPr>
          <w:lang w:val="en-US"/>
        </w:rPr>
        <w:t>gestione</w:t>
      </w:r>
      <w:proofErr w:type="spellEnd"/>
      <w:r w:rsidR="000D4242">
        <w:rPr>
          <w:lang w:val="en-US"/>
        </w:rPr>
        <w:t xml:space="preserve"> </w:t>
      </w:r>
      <w:proofErr w:type="spellStart"/>
      <w:r w:rsidR="000D4242">
        <w:rPr>
          <w:lang w:val="en-US"/>
        </w:rPr>
        <w:t>degli</w:t>
      </w:r>
      <w:proofErr w:type="spellEnd"/>
      <w:r w:rsidR="000D4242">
        <w:rPr>
          <w:lang w:val="en-US"/>
        </w:rPr>
        <w:t xml:space="preserve"> </w:t>
      </w:r>
      <w:proofErr w:type="spellStart"/>
      <w:r w:rsidR="000D4242">
        <w:rPr>
          <w:lang w:val="en-US"/>
        </w:rPr>
        <w:t>eventi</w:t>
      </w:r>
      <w:proofErr w:type="spellEnd"/>
      <w:r w:rsidR="000D4242">
        <w:rPr>
          <w:lang w:val="en-US"/>
        </w:rPr>
        <w:t xml:space="preserve"> </w:t>
      </w:r>
      <w:proofErr w:type="spellStart"/>
      <w:r w:rsidR="000D4242">
        <w:rPr>
          <w:lang w:val="en-US"/>
        </w:rPr>
        <w:t>avversi</w:t>
      </w:r>
      <w:proofErr w:type="spellEnd"/>
      <w:r w:rsidR="000D4242">
        <w:rPr>
          <w:lang w:val="en-US"/>
        </w:rPr>
        <w:t xml:space="preserve"> per </w:t>
      </w:r>
      <w:proofErr w:type="spellStart"/>
      <w:r w:rsidR="000D4242">
        <w:rPr>
          <w:lang w:val="en-US"/>
        </w:rPr>
        <w:t>specialisti</w:t>
      </w:r>
      <w:proofErr w:type="spellEnd"/>
      <w:r w:rsidR="000D4242">
        <w:rPr>
          <w:lang w:val="en-US"/>
        </w:rPr>
        <w:t>.</w:t>
      </w:r>
      <w:r w:rsidR="000D4242">
        <w:rPr>
          <w:rStyle w:val="Rimandonotaapidipagina"/>
          <w:lang w:val="en-US"/>
        </w:rPr>
        <w:footnoteReference w:id="1"/>
      </w:r>
    </w:p>
    <w:sectPr w:rsidR="000D4242" w:rsidRPr="000D4242" w:rsidSect="001529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9F67" w14:textId="77777777" w:rsidR="000D4242" w:rsidRDefault="000D4242" w:rsidP="000D4242">
      <w:r>
        <w:separator/>
      </w:r>
    </w:p>
  </w:endnote>
  <w:endnote w:type="continuationSeparator" w:id="0">
    <w:p w14:paraId="6EA9A54B" w14:textId="77777777" w:rsidR="000D4242" w:rsidRDefault="000D4242" w:rsidP="000D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9FFA" w14:textId="77777777" w:rsidR="000D4242" w:rsidRDefault="000D4242" w:rsidP="000D4242">
      <w:r>
        <w:separator/>
      </w:r>
    </w:p>
  </w:footnote>
  <w:footnote w:type="continuationSeparator" w:id="0">
    <w:p w14:paraId="03B70485" w14:textId="77777777" w:rsidR="000D4242" w:rsidRDefault="000D4242" w:rsidP="000D4242">
      <w:r>
        <w:continuationSeparator/>
      </w:r>
    </w:p>
  </w:footnote>
  <w:footnote w:id="1">
    <w:p w14:paraId="683F865A" w14:textId="3EF8007F" w:rsidR="000D4242" w:rsidRPr="00E50588" w:rsidRDefault="000D4242" w:rsidP="000D4242">
      <w:pPr>
        <w:spacing w:after="280" w:line="360" w:lineRule="auto"/>
        <w:jc w:val="both"/>
        <w:rPr>
          <w:b/>
          <w:i/>
        </w:rPr>
      </w:pPr>
      <w:r w:rsidRPr="00E50588">
        <w:rPr>
          <w:b/>
          <w:i/>
          <w:sz w:val="28"/>
          <w:szCs w:val="28"/>
        </w:rPr>
        <w:t xml:space="preserve">Sponsor </w:t>
      </w:r>
      <w:proofErr w:type="spellStart"/>
      <w:r w:rsidRPr="00E50588">
        <w:rPr>
          <w:b/>
          <w:i/>
          <w:sz w:val="28"/>
          <w:szCs w:val="28"/>
        </w:rPr>
        <w:t>Boehringer</w:t>
      </w:r>
      <w:proofErr w:type="spellEnd"/>
      <w:r w:rsidRPr="00E50588">
        <w:rPr>
          <w:b/>
          <w:i/>
          <w:sz w:val="28"/>
          <w:szCs w:val="28"/>
        </w:rPr>
        <w:t xml:space="preserve"> </w:t>
      </w:r>
      <w:proofErr w:type="spellStart"/>
      <w:r w:rsidRPr="00E50588">
        <w:rPr>
          <w:b/>
          <w:i/>
          <w:sz w:val="28"/>
          <w:szCs w:val="28"/>
        </w:rPr>
        <w:t>Ingelheim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E3A"/>
    <w:multiLevelType w:val="hybridMultilevel"/>
    <w:tmpl w:val="F2680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23808"/>
    <w:multiLevelType w:val="hybridMultilevel"/>
    <w:tmpl w:val="9F341C6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484686"/>
    <w:multiLevelType w:val="hybridMultilevel"/>
    <w:tmpl w:val="7E90D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1"/>
    <w:rsid w:val="00083BD2"/>
    <w:rsid w:val="000B26D1"/>
    <w:rsid w:val="000D4242"/>
    <w:rsid w:val="0011285D"/>
    <w:rsid w:val="00152903"/>
    <w:rsid w:val="001B5C6A"/>
    <w:rsid w:val="001C091A"/>
    <w:rsid w:val="001C17FF"/>
    <w:rsid w:val="002013E8"/>
    <w:rsid w:val="00217B0F"/>
    <w:rsid w:val="002A4ADA"/>
    <w:rsid w:val="002B4C07"/>
    <w:rsid w:val="00360B29"/>
    <w:rsid w:val="003734AD"/>
    <w:rsid w:val="003F5B43"/>
    <w:rsid w:val="00522FB9"/>
    <w:rsid w:val="00527407"/>
    <w:rsid w:val="00533DCD"/>
    <w:rsid w:val="006A0287"/>
    <w:rsid w:val="006A5FB7"/>
    <w:rsid w:val="006D63DF"/>
    <w:rsid w:val="007B3DAB"/>
    <w:rsid w:val="00810B9F"/>
    <w:rsid w:val="00871666"/>
    <w:rsid w:val="008B6A4C"/>
    <w:rsid w:val="008E2C80"/>
    <w:rsid w:val="00936E34"/>
    <w:rsid w:val="00995E25"/>
    <w:rsid w:val="009D0217"/>
    <w:rsid w:val="00A31ADD"/>
    <w:rsid w:val="00AC3204"/>
    <w:rsid w:val="00AE7626"/>
    <w:rsid w:val="00B325DF"/>
    <w:rsid w:val="00B628B6"/>
    <w:rsid w:val="00BF7139"/>
    <w:rsid w:val="00C92B94"/>
    <w:rsid w:val="00CE3692"/>
    <w:rsid w:val="00D04AE6"/>
    <w:rsid w:val="00D5135F"/>
    <w:rsid w:val="00DB3734"/>
    <w:rsid w:val="00DF3C37"/>
    <w:rsid w:val="00E135DE"/>
    <w:rsid w:val="00E50588"/>
    <w:rsid w:val="00EC4EC0"/>
    <w:rsid w:val="00F028ED"/>
    <w:rsid w:val="00F11F81"/>
    <w:rsid w:val="00F36F3D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7F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6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26D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0B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D424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D4242"/>
  </w:style>
  <w:style w:type="character" w:styleId="Rimandonotaapidipagina">
    <w:name w:val="footnote reference"/>
    <w:basedOn w:val="Caratterepredefinitoparagrafo"/>
    <w:uiPriority w:val="99"/>
    <w:unhideWhenUsed/>
    <w:rsid w:val="000D42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6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26D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0B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D424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D4242"/>
  </w:style>
  <w:style w:type="character" w:styleId="Rimandonotaapidipagina">
    <w:name w:val="footnote reference"/>
    <w:basedOn w:val="Caratterepredefinitoparagrafo"/>
    <w:uiPriority w:val="99"/>
    <w:unhideWhenUsed/>
    <w:rsid w:val="000D4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17</cp:revision>
  <dcterms:created xsi:type="dcterms:W3CDTF">2019-07-26T08:08:00Z</dcterms:created>
  <dcterms:modified xsi:type="dcterms:W3CDTF">2019-12-21T12:13:00Z</dcterms:modified>
</cp:coreProperties>
</file>